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outlineLvl w:val="0"/>
        <w:rPr>
          <w:color w:val="auto"/>
        </w:rPr>
      </w:pPr>
      <w:r>
        <w:rPr>
          <w:rFonts w:cs="Calibri" w:cstheme="minorHAnsi"/>
          <w:b/>
          <w:color w:val="auto"/>
          <w:sz w:val="36"/>
          <w:szCs w:val="52"/>
        </w:rPr>
        <w:t>Wymagania na poszczególne oceny – klasa 8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color w:val="auto"/>
        </w:rPr>
      </w:pPr>
      <w:r>
        <w:rPr>
          <w:rFonts w:cs="Calibri" w:cstheme="minorHAnsi"/>
          <w:b/>
          <w:color w:val="auto"/>
          <w:sz w:val="36"/>
          <w:szCs w:val="52"/>
        </w:rPr>
        <w:t>(język programowania Python)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Ogólne zasady oceniania uczniów</w:t>
      </w:r>
    </w:p>
    <w:p>
      <w:pPr>
        <w:pStyle w:val="ListParagraph"/>
        <w:numPr>
          <w:ilvl w:val="0"/>
          <w:numId w:val="0"/>
        </w:numPr>
        <w:ind w:hanging="0" w:left="36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Ocenianie osiągnięć edukacyjnych ucznia polega na rozpoznawaniu przez nauczyciela postępów w opanowaniu przez ucznia wiadomości i umiejętności. Nauczyciel powinien analizować i oceniać poziom wiedzy i umiejętności ucznia w stosunku do wymagań edukacyjnych wynikających z podstawy programowej i realizowanych w szkole programów nauczania (opracowanych zgodnie z podstawą programową danego przedmiotu).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Nauczyciel ma za zadanie: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informować ucznia o poziomie jego osiągnięć edukacyjnych oraz o postępach w tym zakresie,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pomagać uczniowi przy samodzielnym planowaniu jego rozwoju,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motywować ucznia do dalszych postępów w nauce,</w:t>
      </w:r>
    </w:p>
    <w:p>
      <w:pPr>
        <w:pStyle w:val="ListParagraph"/>
        <w:numPr>
          <w:ilvl w:val="1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dostarczać rodzicom/opiekunom prawnym informacji o postępach, trudnościach w nauce oraz specjalnych zdolnościach ucznia.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Oceny są jawne dla ucznia i jego rodziców/opiekunów prawnych.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Na wniosek ucznia lub jego rodziców/opiekunów prawnych nauczyciel uzasadnia ustaloną ocenę w sposób określony w statucie szkoły.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Na wniosek ucznia lub jego rodziców/opiekunów prawnych sprawdzone i ocenione prace kontrolne są udostępniane do wglądu uczniowi lub jego rodzicom/opiekunom prawnym.</w:t>
      </w:r>
    </w:p>
    <w:p>
      <w:pPr>
        <w:pStyle w:val="ListParagraph"/>
        <w:numPr>
          <w:ilvl w:val="0"/>
          <w:numId w:val="8"/>
        </w:numPr>
        <w:rPr>
          <w:rFonts w:cs="Calibri" w:cstheme="minorHAnsi"/>
        </w:rPr>
      </w:pPr>
      <w:r>
        <w:rPr>
          <w:rFonts w:cs="Calibri" w:cstheme="minorHAnsi"/>
        </w:rPr>
        <w:t>Szczegółowe warunki i sposób wewnątrzszkolnego oceniania określa statut szkoły.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2. Kryteria oceniania poszczególnych form aktywności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Ocenie podlegają: ćwiczenia praktyczne, sprawdziany, kartkówki, odpowiedzi ustne, praca na lekcji, prace dodatkowe oraz szczególne osiągnięcia.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Ćwiczenia praktyczne</w:t>
      </w:r>
      <w:r>
        <w:rPr>
          <w:rFonts w:cs="Calibri" w:cstheme="minorHAnsi"/>
        </w:rPr>
        <w:t xml:space="preserve"> obejmują zadania praktyczne, które uczeń wykonuje podczas lekcji. Oceniając je, nauczyciel bierze pod uwagę: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wartość merytoryczną,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stopień zaangażowania w wykonanie ćwiczenia,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dokładność wykonania polecenia,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indywidualne rozwiązania zastosowane przez ucznia,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staranność i estetykę.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Sprawdziany</w:t>
      </w:r>
      <w:r>
        <w:rPr>
          <w:rFonts w:cs="Calibri" w:cstheme="minorHAnsi"/>
        </w:rPr>
        <w:t xml:space="preserve"> są przeprowadzane w formie pisemnej i praktycznej, a ich celem jest sprawdzenie wiedzy i umiejętności ucznia.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Sprawdzian planuje się na zakończenie działu.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Uczeń jest informowany o planowanym sprawdzianie z co najmniej tygodniowym wyprzedzeniem (jeśli WSO nie reguluje tego inaczej).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Przed sprawdzianem nauczyciel podaje jego zakres programowy.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 xml:space="preserve">Sprawdzian może poprzedzać lekcja powtórzeniowa, podczas której nauczyciel zwraca uwagę uczniów na najważniejsze zagadnienia z danego działu. 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Kryteria oceniania sprawdzianu, jego poprawy oraz sposób przechowywania prac są zgodne z WSO.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Sprawdzian umożliwia sprawdzenie wiadomości i umiejętności na wszystkich poziomach wymagań edukacyjnych, od koniecznych do wykraczających.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 xml:space="preserve">Zasady przeliczania oceny punktowej na stopień szkolny są zgodne z WSO. 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Zadania ze sprawdzianu są przez nauczyciela omawiane po oddaniu prac.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Kartkówki</w:t>
      </w:r>
      <w:r>
        <w:rPr>
          <w:rFonts w:cs="Calibri" w:cstheme="minorHAnsi"/>
        </w:rPr>
        <w:t xml:space="preserve"> są przeprowadzane w formie pisemnej, a ich celem jest sprawdzenie wiedzy i umiejętności ucznia z zakresu programowego ostatnich jednostek lekcyjnych (maksymalnie trzech).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Nauczyciel nie ma obowiązku uprzedzania uczniów o terminie i zakresie programowym kartkówki.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Kartkówka powinna być tak skonstruowana, aby uczeń mógł wykonać wszystkie polecenia w czasie nie dłuższym niż 15 minut.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Kartkówka jest oceniana w skali punktowej, a liczba punktów jest przeliczana na ocenę zgodnie z zasadami WSO.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Zasady przechowywania kartkówek reguluje WSO.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Odpowiedź ustna</w:t>
      </w:r>
      <w:r>
        <w:rPr>
          <w:rFonts w:cs="Calibri" w:cstheme="minorHAnsi"/>
        </w:rPr>
        <w:t xml:space="preserve"> obejmuje zakres programowy aktualnie omawianego działu. Oceniając ją, nauczyciel bierze pod uwagę: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zgodność wypowiedzi z postawionym pytaniem,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właściwe posługiwanie się pojęciami,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zawartość merytoryczną wypowiedzi,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sposób formułowania wypowiedzi.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Aktywność i praca ucznia na lekcji są oceniane</w:t>
      </w:r>
      <w:r>
        <w:rPr>
          <w:rFonts w:cs="Calibri" w:cstheme="minorHAnsi"/>
        </w:rPr>
        <w:t xml:space="preserve"> (jeśli WSO nie stanowi inaczej), zależnie od ich charakteru, za pomocą plusów i minusów.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 xml:space="preserve">Plus uczeń może uzyskać m.in. za: samodzielne wykonanie krótkiej pracy na lekcji, krótką poprawną odpowiedź ustną, aktywną pracę w grupie, pomoc koleżeńską na lekcji przy rozwiązywaniu problemu, przygotowanie do lekcji, inicjatywę przy rozwiązywaniu problemów, znalezienie nieszablonowych rozwiązań. 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Minus uczeń może uzyskać m.in. za nieprzygotowanie do lekcji (np. brak podręcznika, plików potrzebnych do wykonania zadania).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Sposób przeliczania plusów i minusów na oceny jest zgodny z umową między nauczycielem a uczniami, z uwzględnieniem zapisów WSO.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Prace dodatkowe</w:t>
      </w:r>
      <w:r>
        <w:rPr>
          <w:rFonts w:cs="Calibri" w:cstheme="minorHAnsi"/>
        </w:rPr>
        <w:t xml:space="preserve"> obejmują dodatkowe zadania dla zainteresowanych uczniów, prace projektowe wykonane indywidualnie lub zespołowo, wykonanie pomocy naukowych, prezentacji. Oceniając ten rodzaj pracy, nauczyciel bierze pod uwagę m.in.: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wartość merytoryczną pracy,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stopień zaangażowania w wykonanie pracy,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estetykę wykonania,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wkład pracy ucznia,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sposób prezentacji,</w:t>
      </w:r>
    </w:p>
    <w:p>
      <w:pPr>
        <w:pStyle w:val="ListParagraph"/>
        <w:numPr>
          <w:ilvl w:val="1"/>
          <w:numId w:val="2"/>
        </w:numPr>
        <w:rPr>
          <w:rFonts w:cs="Calibri" w:cstheme="minorHAnsi"/>
        </w:rPr>
      </w:pPr>
      <w:r>
        <w:rPr>
          <w:rFonts w:cs="Calibri" w:cstheme="minorHAnsi"/>
        </w:rPr>
        <w:t>oryginalność i pomysłowość pracy.</w:t>
      </w:r>
    </w:p>
    <w:p>
      <w:pPr>
        <w:pStyle w:val="ListParagraph"/>
        <w:numPr>
          <w:ilvl w:val="0"/>
          <w:numId w:val="2"/>
        </w:numPr>
        <w:rPr>
          <w:rFonts w:cs="Calibri" w:cstheme="minorHAnsi"/>
        </w:rPr>
      </w:pPr>
      <w:r>
        <w:rPr>
          <w:rFonts w:cs="Calibri" w:cstheme="minorHAnsi"/>
          <w:b/>
        </w:rPr>
        <w:t>Szczególne osiągnięcia</w:t>
      </w:r>
      <w:r>
        <w:rPr>
          <w:rFonts w:cs="Calibri" w:cstheme="minorHAnsi"/>
        </w:rPr>
        <w:t xml:space="preserve"> uczniów, w tym udział w konkursach przedmiotowych (szkolnych i międzyszkolnych), są oceniane zgodnie z zasadami zapisanymi w WSO.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3. Kryteria wystawiania ocen po I semestrze oraz na koniec roku szkolnego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Klasyfikacje semestralna i roczna polegają na podsumowaniu osiągnięć edukacyjnych ucznia oraz ustaleniu oceny klasyfikacyjnej.</w:t>
      </w:r>
    </w:p>
    <w:p>
      <w:pPr>
        <w:pStyle w:val="ListParagraph"/>
        <w:numPr>
          <w:ilvl w:val="0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Zgodnie z zapisami WSO nauczyciele na początku każdego roku szkolnego informują uczniów oraz ich rodziców/opiekunów prawnych o:</w:t>
      </w:r>
    </w:p>
    <w:p>
      <w:pPr>
        <w:pStyle w:val="ListParagraph"/>
        <w:numPr>
          <w:ilvl w:val="1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wymaganiach edukacyjnych, które trzeba spełnić, aby uzyskać poszczególne śródroczne i roczne oceny klasyfikacyjne z informatyki,</w:t>
      </w:r>
    </w:p>
    <w:p>
      <w:pPr>
        <w:pStyle w:val="ListParagraph"/>
        <w:numPr>
          <w:ilvl w:val="1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sposobach sprawdzania osiągnięć edukacyjnych uczniów,</w:t>
      </w:r>
    </w:p>
    <w:p>
      <w:pPr>
        <w:pStyle w:val="ListParagraph"/>
        <w:numPr>
          <w:ilvl w:val="1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trybie odwołania się od wystawionej oceny klasyfikacyjnej.</w:t>
      </w:r>
    </w:p>
    <w:p>
      <w:pPr>
        <w:pStyle w:val="ListParagraph"/>
        <w:numPr>
          <w:ilvl w:val="0"/>
          <w:numId w:val="3"/>
        </w:numPr>
        <w:rPr>
          <w:rFonts w:cs="Calibri" w:cstheme="minorHAnsi"/>
        </w:rPr>
      </w:pPr>
      <w:r>
        <w:rPr>
          <w:rFonts w:cs="Calibri" w:cstheme="minorHAnsi"/>
        </w:rPr>
        <w:t>Przy wystawianiu ocen śródrocznej lub rocznej nauczyciel bierze pod uwagę stopień opanowania wiadomości z poszczególnych działów tematycznych, oceniany na podstawie wymienionych w punkcie drugim różnych form sprawdzania wiedzy i umiejętności. Szczegółowe kryteria wystawiania oceny klasyfikacyjnej określa WSO.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3"/>
        </w:numPr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Zasady uzupełniania braków i poprawiania ocen</w:t>
      </w:r>
    </w:p>
    <w:p>
      <w:pPr>
        <w:pStyle w:val="Normal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Sprawdziany teoretyczne lub sprawdziany praktycznych umiejętności w zakresie pracy na komputerze są obowiązkowe. Oceny z tych sprawdzianów uczniowie mogą poprawiać raz w semestrze, po uprzednim ustaleniu terminu z nauczycielem.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Oceny ze sprawdzianów praktycznych i teoretycznych wyższe niż ocena dopuszczająca nie podlegają poprawie.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Ocen z kartkówek i odpowiedzi ustnych nie można poprawić.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Nauczyciel informuje ucznia o ocenie z ostatniej pracy bezpośrednio po jej wystawieniu.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Rodzice/opiekunowie prawni mogą uzyskać szczegółowe informacje o wynikach i postępach w pracy ucznia podczas indywidualnych kontaktów z nauczycielem (według harmonogramu spotkań przyjętego przez szkołę).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Uczeń ma obowiązek uzupełnić braki w wiedzy i umiejętnościach (wynikające np. z nieobecności), biorąc udział w zajęciach wyrównawczych lub drogą indywidualnych konsultacji z nauczycielem (także online).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</w:pPr>
      <w:r>
        <w:rPr>
          <w:rFonts w:cs="Calibri" w:cstheme="minorHAnsi"/>
        </w:rPr>
        <w:t>W przypadku ponad 50% nieusprawiedliwionych nieobecności na zajęciach, które uniemożliwiły uzyskanie przez ucznia oceny semestralnej lub końcowej, należy stosować przepisy WSO.</w:t>
      </w:r>
    </w:p>
    <w:p>
      <w:pPr>
        <w:pStyle w:val="ListParagraph"/>
        <w:numPr>
          <w:ilvl w:val="0"/>
          <w:numId w:val="4"/>
        </w:numPr>
        <w:rPr>
          <w:rFonts w:cs="Calibri" w:cstheme="minorHAnsi"/>
        </w:r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7" w:right="1417" w:gutter="0" w:header="708" w:top="1417" w:footer="708" w:bottom="141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Calibri" w:cstheme="minorHAnsi"/>
        </w:rPr>
        <w:t>Sposób poprawiania klasyfikacyjnej oceny semestralnej lub rocznej regulują przepisy WSO i rozporządzenia MEN.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3"/>
        </w:numPr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Zasady badania wyników nauczania</w:t>
      </w:r>
    </w:p>
    <w:p>
      <w:pPr>
        <w:pStyle w:val="ListParagraph"/>
        <w:ind w:left="360"/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</w:r>
    </w:p>
    <w:p>
      <w:pPr>
        <w:pStyle w:val="ListParagraph"/>
        <w:numPr>
          <w:ilvl w:val="0"/>
          <w:numId w:val="6"/>
        </w:numPr>
        <w:rPr>
          <w:rFonts w:cs="Calibri" w:cstheme="minorHAnsi"/>
        </w:rPr>
      </w:pPr>
      <w:r>
        <w:rPr>
          <w:rFonts w:cs="Calibri" w:cstheme="minorHAnsi"/>
        </w:rPr>
        <w:t xml:space="preserve">Badanie wyników nauczania ma na celu diagnozowanie efektów kształcenia. </w:t>
      </w:r>
    </w:p>
    <w:p>
      <w:pPr>
        <w:pStyle w:val="ListParagraph"/>
        <w:numPr>
          <w:ilvl w:val="0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Badanie to odbywa się w trzech etapach:</w:t>
      </w:r>
    </w:p>
    <w:p>
      <w:pPr>
        <w:pStyle w:val="ListParagraph"/>
        <w:numPr>
          <w:ilvl w:val="1"/>
          <w:numId w:val="7"/>
        </w:numPr>
        <w:rPr>
          <w:rFonts w:cs="Calibri" w:cstheme="minorHAnsi"/>
        </w:rPr>
      </w:pPr>
      <w:r>
        <w:rPr>
          <w:rFonts w:cs="Calibri" w:cstheme="minorHAnsi"/>
        </w:rPr>
        <w:t>diagnozy wstępnej,</w:t>
      </w:r>
    </w:p>
    <w:p>
      <w:pPr>
        <w:pStyle w:val="ListParagraph"/>
        <w:numPr>
          <w:ilvl w:val="1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diagnozy na zakończenie I semestru nauki,</w:t>
      </w:r>
    </w:p>
    <w:p>
      <w:pPr>
        <w:pStyle w:val="ListParagraph"/>
        <w:numPr>
          <w:ilvl w:val="1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diagnozy na koniec roku szkolnego.</w:t>
      </w:r>
    </w:p>
    <w:p>
      <w:pPr>
        <w:pStyle w:val="ListParagraph"/>
        <w:numPr>
          <w:ilvl w:val="0"/>
          <w:numId w:val="6"/>
        </w:numPr>
        <w:rPr>
          <w:rFonts w:cs="Calibri" w:cstheme="minorHAnsi"/>
        </w:rPr>
      </w:pPr>
      <w:r>
        <w:rPr>
          <w:rFonts w:cs="Calibri" w:cstheme="minorHAnsi"/>
        </w:rPr>
        <w:t>Oceny uzyskane przez uczniów podczas tych diagnoz nie mają wpływu na oceny semestralną i roczną.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3"/>
        </w:numPr>
        <w:rPr>
          <w:rFonts w:cs="Calibri" w:cstheme="minorHAnsi"/>
          <w:b/>
          <w:sz w:val="28"/>
        </w:rPr>
      </w:pPr>
      <w:r>
        <w:rPr>
          <w:rFonts w:cs="Calibri" w:cstheme="minorHAnsi"/>
          <w:b/>
          <w:sz w:val="28"/>
        </w:rPr>
        <w:t>Wymagania edukacyjne z informatyki w klasie 8 szkoły podstawowej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 xml:space="preserve">W zakresie rozumienia, analizowania i rozwiązywania problemów uczeń: 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wymienia etapy rozwiązywania problemów,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wyjaśnia, czym jest algorytm,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buduje algorytmy do rozwiązywania problemów,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wskazuje specyfikację problemu (dane, wyniki),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przedstawia algorytm w postaci listy kroków,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tłumaczy, na czym polega sytuacja warunkowa w algorytmie,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omawia możliwości wykorzystania arkusza kalkulacyjnego w różnych dziedzinach.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programowania i rozwiązywania problemów z wykorzystaniem komputera i innych urządzeń cyfrowych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wyjaśnia, co to znaczy programować,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wyjaśnia, na czym polega iteracja (powtarzanie),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stosuje pętlę powtórzeniową w tworzonych programach,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stosuje sytuację warunkową w tworzonych programach,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wykorzystuje zmienne podczas programowania,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 xml:space="preserve">tworzy procedury z parametrami i bez parametrów, 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oblicza największy wspólny dzielnik, wykorzystując algorytm Euklidesa,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wskazuje największą liczbę w zbiorze, stosując algorytm wyszukiwania,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porządkuje elementy w zbiorze metodą wybierania, połowienia i zliczania,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wskazuje różnice pomiędzy kodem źródłowym a kodem wynikowym (maszynowym),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wskazuje różnice pomiędzy kompilatorem a interpreterem,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 xml:space="preserve">wyjaśnia, czym jest arkusz kalkulacyjny, wiersz, kolumna i komórka tabeli, 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wskazuje adres komórki oraz zakres komórek w arkuszu kalkulacyjnym,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samodzielnie buduje formuły do wykonywania prostych obliczeń w arkuszu kalkulacyjnym,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stosuje formuły wbudowane w program do wykonywania obliczeń w arkuszu kalkulacyjnym,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kopiuje formuły, stosując adresowanie względne, bezwzględne oraz mieszane,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sprawdza warunek logiczny w arkuszu kalkulacyjny, korzystając z funkcji JEŻELI,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dodaje oraz usuwa wiersze i kolumny w tabeli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zmienia szerokość kolumn i wysokość wierszy tabeli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zmienia wygląd komórek w arkuszu kalkulacyjnym,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dodaje i formatuje obramowanie komórek tabeli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scala ze sobą wiele komórek tabeli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wykorzystuje funkcję zawijania tekstu, aby zmieścić w jednej komórce dłuższe teksty,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zmienia format danych wpisanych do komórek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drukuje tabele utworzone w arkuszu kalkulacyjnym,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przedstawia na wykresie dane zebrane w tabeli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dobiera odpowiedni typ wykresu do rodzaju danych zebranych w tabeli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wstawia do dokumentu tekstowego tabelę lub wykres arkusza kalkulacyjnego,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wstawiając tabelę lub wykres arkusza kalkulacyjnego do dokumentu tekstowego, odróżnia obiekt osadzony od obiektu połączonego,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sortuje dane w tabeli arkusza kalkulacyjnego w określonym porządku,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wyświetla tylko wybrane dane w tabeli arkusza kalkulacyjnego, korzystając z funkcji filtrowania.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posługiwania się komputerem, urządzeniami cyfrowymi i sieciami komputerowymi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korzysta z różnych urządzeń peryferyjnych,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wyszukuje w internecie informacje i dane różnego rodzaju (tekst, obrazy, muzykę, filmy),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sprawnie posługuje się urządzeniami elektronicznymi takimi jak skaner, drukarka,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prawidłowo nazywa programy, narzędzia i funkcje, z których korzysta,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wyjaśnia działanie narzędzi, z których korzysta.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rozwijania kompetencji społecznych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współpracuje z innymi, wykonując złożone projekty,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określa etapy wykonywania złożonego projektu grupowego,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komunikuje się z innymi przez sieć lokalną oraz przez internet, wykorzystując komunikatory,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wysyła i odbiera pocztę elektroniczną,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selekcjonuje i ocenia krytycznie informacje znalezione w internecie,</w:t>
      </w:r>
    </w:p>
    <w:p>
      <w:pPr>
        <w:pStyle w:val="ListParagraph"/>
        <w:numPr>
          <w:ilvl w:val="0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 zakresie przestrzegania praw i zasad bezpieczeństwa uczeń: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zasad bezpiecznej i higienicznej pracy przy komputerze,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wymienia i opisuje rodzaje licencji na oprogramowanie,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postanowień licencji na oprogramowanie i materiały pobrane z internetu,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zasad etycznych, korzystając z komputera i internetu,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dba o swoje bezpieczeństwo podczas korzystania z internetu,</w:t>
      </w:r>
    </w:p>
    <w:p>
      <w:pPr>
        <w:pStyle w:val="ListParagraph"/>
        <w:numPr>
          <w:ilvl w:val="1"/>
          <w:numId w:val="5"/>
        </w:numPr>
        <w:rPr>
          <w:rFonts w:cs="Calibri" w:cstheme="minorHAnsi"/>
        </w:rPr>
      </w:pPr>
      <w:r>
        <w:rPr>
          <w:rFonts w:cs="Calibri" w:cstheme="minorHAnsi"/>
        </w:rPr>
        <w:t>przestrzega przepisów prawa podczas korzystania z internetu,</w:t>
      </w:r>
    </w:p>
    <w:p>
      <w:pPr>
        <w:pStyle w:val="ListParagraph"/>
        <w:numPr>
          <w:ilvl w:val="1"/>
          <w:numId w:val="5"/>
        </w:numPr>
        <w:spacing w:before="0" w:after="0"/>
        <w:contextualSpacing/>
        <w:rPr>
          <w:rFonts w:cs="Calibri" w:cstheme="minorHAnsi"/>
        </w:r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417" w:right="1417" w:gutter="0" w:header="708" w:top="1417" w:footer="708" w:bottom="141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Calibri" w:cstheme="minorHAnsi"/>
        </w:rPr>
        <w:t>wie, czym jest netykieta, i przestrzega jej zasad, korzystając z internetu.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rFonts w:cs="Calibri" w:cstheme="minorHAnsi"/>
          <w:b/>
          <w:color w:themeColor="text1" w:val="000000"/>
          <w:sz w:val="28"/>
          <w:szCs w:val="28"/>
        </w:rPr>
      </w:pPr>
      <w:r>
        <w:rPr>
          <w:rFonts w:cs="Calibri" w:cstheme="minorHAnsi"/>
          <w:b/>
          <w:color w:themeColor="text1" w:val="000000"/>
          <w:sz w:val="28"/>
          <w:szCs w:val="28"/>
        </w:rPr>
        <w:t>7. Wymagania na poszczególne oceny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Wymagania na każdy stopień wyższy niż </w:t>
      </w:r>
      <w:r>
        <w:rPr>
          <w:rFonts w:cs="Calibri" w:cstheme="minorHAnsi"/>
          <w:b/>
        </w:rPr>
        <w:t>dopuszczający</w:t>
      </w:r>
      <w:r>
        <w:rPr>
          <w:rFonts w:cs="Calibri" w:cstheme="minorHAnsi"/>
        </w:rPr>
        <w:t xml:space="preserve"> obejmują również wymagania na wszystkie stopnie niższe.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Tabela-Siatka"/>
        <w:tblW w:w="1400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noVBand="1" w:lastRow="0" w:firstColumn="1" w:lastColumn="0" w:noHBand="0"/>
      </w:tblPr>
      <w:tblGrid>
        <w:gridCol w:w="2800"/>
        <w:gridCol w:w="2800"/>
        <w:gridCol w:w="2800"/>
        <w:gridCol w:w="2800"/>
        <w:gridCol w:w="2800"/>
      </w:tblGrid>
      <w:tr>
        <w:trPr/>
        <w:tc>
          <w:tcPr>
            <w:tcW w:w="14000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Ocena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Stopień dopuszczający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Stopień dostateczny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 xml:space="preserve">Stopień dobry </w:t>
              <w:br/>
              <w:t>Uczeń:</w:t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 xml:space="preserve">Stopień bardzo dobry </w:t>
              <w:br/>
              <w:t>Uczeń:</w:t>
            </w:r>
          </w:p>
        </w:tc>
        <w:tc>
          <w:tcPr>
            <w:tcW w:w="28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cs="Calibri" w:cstheme="minorHAnsi"/>
                <w:b/>
                <w:sz w:val="18"/>
                <w:szCs w:val="18"/>
              </w:rPr>
              <w:t>Stopień celujący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cs="Calibri" w:cstheme="minorHAnsi"/>
                <w:b/>
                <w:sz w:val="18"/>
                <w:szCs w:val="18"/>
              </w:rPr>
              <w:t>Uczeń: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zastosowanie oraz budowę arkusza kalkulacyjnego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określa adres komórki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wprowadza dane różnego rodzaju do komórek arkusza kalkulacyjnego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formatuje zawartość komórek (wyrównanie tekstu oraz wygląd czcionki)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rozumie różnice między adresowaniem względnym, bezwzględnym i mieszanym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wstawia wykres do arkusza kalkulacyjnego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korzysta z arkusza kalkulacyjnego w celu stworzenia kalkulacji wydatków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definiuje pojęcia: algorytm, program, programowanie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podaje kilka sposobów przedstawienia algorytmu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tłumaczy, do czego używa się zmiennych w programach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proste programy w trybie skryptowym języka Python z wykorzystaniem zmiennych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działanie operatora modulo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algorytm badania podzielności liczb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potrzebę wyszukiwania informacji w zbiorze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sprawdza działanie programów wyszukujących element w zbiorze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potrzebę porządkowania danych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sprawdza działanie programu sortującego dla różnych danych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 przygotowaniu dokumentacji szkolnej imprezy sportowej, wykonując powierzone mu zadania o niewielkim stopniu trudności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aktywnie uczestniczy w pracach zespołu, realizuje powierzone zadania o niewielkim stopniu trudności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testuje grę na różnych etapach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określa zasady wprowadzania danych do komórek arkusza kalkulacyjnego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dodaje i usuwa wiersze oraz kolumny w tabeli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w arkuszu podstawowe funkcje: (SUMA, ŚREDNIA), wpisuje je ręcznie oraz korzysta z kreatora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i modyfikuje poszczególne elementy wykresu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w tabeli arkusza kalkulacyjnego dane otrzymane z prostych doświadczeń i przedstawia je na wykresie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wymienia różne sposoby przedstawienia algorytmu: opis słowny, lista kroków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poprawnie formułuje problem do rozwiązania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różnice między interaktywnym a skryptowym trybem pracy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odpowiednie polecenie języka Python, aby wyświetlić tekst na ekranie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różnice pomiędzy kodem źródłowym a kodem wynikowym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tłumaczy, czym jest środowisko programistyczne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wykonuje obliczenia w języku Python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działanie operatorów arytmetycznych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listy w języku Python oraz operatory logiczne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w postaci listy kroków algorytm badania podzielności liczb naturalnych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w programach instrukcję iteracyjną while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algorytm wyszukiwania elementu w zbiorze nieuporządkowanym, w tym elementu największego i najmniejszego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w wybranej formie algorytm porządkowania metodą przez wybieranie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implementację algorytmu sortowania przez wybieranie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pętle zagnieżdżone i wyjaśnia, jak działają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 przygotowaniu dokumentacji szkolnej imprezy sportowej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wprowadza dane do zaprojektowanych tabel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 pracach nad wypracowaniem koncepcji gry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proste formuły obliczeniowe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wyjaśnia, czym jest adres względny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funkcję JEŻELI do tworzenia algorytmów z warunkami w arkuszu kalkulacyjnym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ustawia format danych komórki odpowiadający jej zawartości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 formułach stosuje adresowanie względne, bezwzględne i mieszane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dobiera odpowiedni wykres do rodzaju danych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sortuje oraz filtruje dane w arkuszu kalkulacyjnym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wymienia przykładowe środowiska programistyczne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wyjaśnia, czym jest specyfikacja problemu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opisuje etapy rozwiązywania problemów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opisuje etapy powstawania programu komputerowego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proste polecenia języka Python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instrukcję warunkową if oraz if else w programach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iterację w konstruowanych algorytmach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w programach instrukcję iteracyjną for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definiuje funkcje w języku Python i omawia różnice między funkcjami zwracającymi wartość a funkcjami niezwracającymi wartości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algorytm Euklidesa i zapisuje go w wybranej postaci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algorytm wyodrębniania cyfr danej liczby i zapisuje go w wybranej postaci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implementuje algorytm wyszukiwania elementu w zbiorze nieuporządkowanym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funkcje zastosowane w kodzie źródłowym algorytmu sortowania przez wybieranie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przygotowuje dokumentację imprezy, wykonuje obliczenia, projektuje tabele oraz wykresy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programuje wybrane funkcje i elementy gry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opracowuje opis gry</w:t>
            </w:r>
          </w:p>
        </w:tc>
        <w:tc>
          <w:tcPr>
            <w:tcW w:w="2800" w:type="dxa"/>
            <w:tcBorders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kopiuje utworzone formuły obliczeniowe, wykorzystując adresowanie względne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korzysta z biblioteki funkcji, aby wyszukiwać potrzebne funkcje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adresowanie względne, bezwzględne lub mieszane w zaawansowanych formułach obliczeniowych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wykres dla więcej niż jednej serii danych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prosty model (na przykładzie rzutu sześcienną kostką do gry) w arkuszu kalkulacyjnym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filtry niestandardowe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proste programy w trybie skryptowym języka Python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konstruuje złożone sytuacje warunkowe (wiele warunków) w algorytmach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programy zawierające instrukcje warunkowe, pętle oraz funkcje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wyjaśnia, jakie błędy zwraca interpreter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czyta kod źródłowy i opisuje jego działanie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różnice między instrukcją iteracyjną while a pętlą for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programy obliczające NWD, stosując algorytm Euklidesa, oraz wypisujące cyfry danej liczby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samodzielnie zapisuje w wybranej postaci algorytm wyszukiwania elementu w zbiorze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implementuje algorytm porządkowania metodą przez wybieranie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wprowadza modyfikacje w implementacji algorytmu porządkowania przez wybieranie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 przygotowaniu dokumentacji szkolnej imprezy sportowej, przygotowuje zestawienia, drukuje wyniki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implementuje i optymalizuje kod źródłowy gry, korzystając z wypracowanych założeń</w:t>
            </w:r>
          </w:p>
        </w:tc>
        <w:tc>
          <w:tcPr>
            <w:tcW w:w="280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exact" w:line="280" w:before="0" w:after="0"/>
              <w:ind w:hanging="142" w:left="142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cs="Calibri" w:cstheme="minorHAnsi"/>
                <w:sz w:val="18"/>
                <w:szCs w:val="18"/>
              </w:rPr>
              <w:t>stosuje przyswojone informacje i umiejętności w sytuacjach trudnych, złożonych i nietypowych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orient="landscape" w:w="16838" w:h="11906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ind w:left="20"/>
      <w:rPr>
        <w:rFonts w:ascii="Times" w:hAnsi="Times"/>
        <w:color w:themeColor="text1" w:val="000000"/>
        <w:sz w:val="20"/>
        <w:szCs w:val="20"/>
      </w:rPr>
    </w:pPr>
    <w:r>
      <w:rPr>
        <w:rFonts w:ascii="Times" w:hAnsi="Times"/>
        <w:color w:themeColor="text1" w:val="000000"/>
        <w:sz w:val="20"/>
        <w:szCs w:val="20"/>
      </w:rPr>
      <w:t xml:space="preserve">© Copyright by Nowa Era Sp. z o.o. • </w:t>
    </w:r>
    <w:hyperlink r:id="rId1">
      <w:r>
        <w:rPr>
          <w:rStyle w:val="Style9"/>
          <w:rFonts w:ascii="Times" w:hAnsi="Times"/>
          <w:color w:themeColor="text1" w:val="000000"/>
          <w:sz w:val="20"/>
          <w:szCs w:val="20"/>
        </w:rPr>
        <w:t>www.nowaera.pl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9"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514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uiPriority w:val="10"/>
    <w:qFormat/>
    <w:rsid w:val="0043514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NagwekZnak" w:customStyle="1">
    <w:name w:val="Nagłówek Znak"/>
    <w:basedOn w:val="DefaultParagraphFont"/>
    <w:uiPriority w:val="99"/>
    <w:qFormat/>
    <w:rsid w:val="00d55891"/>
    <w:rPr/>
  </w:style>
  <w:style w:type="character" w:styleId="StopkaZnak" w:customStyle="1">
    <w:name w:val="Stopka Znak"/>
    <w:basedOn w:val="DefaultParagraphFont"/>
    <w:uiPriority w:val="99"/>
    <w:qFormat/>
    <w:rsid w:val="00d5589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a0597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35145"/>
    <w:pPr>
      <w:spacing w:before="0" w:after="0"/>
      <w:ind w:left="720"/>
      <w:contextualSpacing/>
    </w:pPr>
    <w:rPr/>
  </w:style>
  <w:style w:type="paragraph" w:styleId="Title">
    <w:name w:val="Title"/>
    <w:basedOn w:val="Normal"/>
    <w:next w:val="Normal"/>
    <w:link w:val="TytuZnak"/>
    <w:uiPriority w:val="10"/>
    <w:qFormat/>
    <w:rsid w:val="00435145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5589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d5589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a0597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8e406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4038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<Relationship Id="rId25" Type="http://schemas.openxmlformats.org/officeDocument/2006/relationships/customXml" Target="../customXml/item2.xml"/><Relationship Id="rId26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8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_rels/footer9.xml.rels><?xml version="1.0" encoding="UTF-8"?>
<Relationships xmlns="http://schemas.openxmlformats.org/package/2006/relationships"><Relationship Id="rId1" Type="http://schemas.openxmlformats.org/officeDocument/2006/relationships/hyperlink" Target="http://www.nowaera.pl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F843E6-C409-4B2D-B398-6795F5E7A7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4DC75-629E-4452-9B3E-CD04E5B8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87A22-EB3B-4ACC-B446-539D94B3F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8</Pages>
  <Words>2397</Words>
  <Characters>15410</Characters>
  <CharactersWithSpaces>17357</CharactersWithSpaces>
  <Paragraphs>240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2024-08-21T09:25:00Z</dcterms:created>
  <dc:creator>Krzys Spalinski</dc:creator>
  <dc:description/>
  <dc:language>pl-PL</dc:language>
  <cp:lastModifiedBy/>
  <dcterms:modified xsi:type="dcterms:W3CDTF">2026-08-27T17:18:10Z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